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ملحق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للخطة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التطويرية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مبادرة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لمدرستي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أنتمي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(3-2)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الإجرائية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لتطوير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علا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المعيار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ثقافة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التوقعات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ab/>
      </w:r>
    </w:p>
    <w:tbl>
      <w:tblPr>
        <w:tblStyle w:val="Table1"/>
        <w:bidiVisual w:val="1"/>
        <w:tblW w:w="14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0"/>
        <w:gridCol w:w="4590"/>
        <w:gridCol w:w="1980"/>
        <w:gridCol w:w="1890"/>
        <w:gridCol w:w="1260"/>
        <w:gridCol w:w="1618"/>
        <w:tblGridChange w:id="0">
          <w:tblGrid>
            <w:gridCol w:w="2770"/>
            <w:gridCol w:w="4590"/>
            <w:gridCol w:w="1980"/>
            <w:gridCol w:w="1890"/>
            <w:gridCol w:w="1260"/>
            <w:gridCol w:w="1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والإجراءات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التمويل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الملاحظات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tabs>
                <w:tab w:val="left" w:leader="none" w:pos="11370"/>
              </w:tabs>
              <w:bidi w:val="1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1370"/>
              </w:tabs>
              <w:bidi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1370"/>
              </w:tabs>
              <w:bidi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ازدياد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مرافقها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تعميم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2023/2024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:  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مدرسية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لوحات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لعبارات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إرشادية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2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أنظف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المثالي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435" w:right="0" w:hanging="360"/>
              <w:jc w:val="both"/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اجتماع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لوضع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لتنظيف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</w:t>
            </w:r>
          </w:p>
          <w:p w:rsidR="00000000" w:rsidDel="00000000" w:rsidP="00000000" w:rsidRDefault="00000000" w:rsidRPr="00000000" w14:paraId="00000016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تشكيل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طلابية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الدوام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الطابور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الصباحي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الدوام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لرصد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وتسليمها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لمنسقة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تعزيز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أنظف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الإذاعة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شهر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وتكريمهم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مديرة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والممرات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والساحات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دوري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تصميم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وإعداد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لوحات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لعبارات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إرشادية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مدرسية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دوري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مسابقات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مشاهد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تمثيلية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والاحتفال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باليوم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العالمي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ويتم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نهايتها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تكريم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المميزين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بنظافتهم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وترتيبهم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مربيات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اليومية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لطلبتهم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جلسات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حوارية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2023/2024</w:t>
            </w:r>
          </w:p>
          <w:p w:rsidR="00000000" w:rsidDel="00000000" w:rsidP="00000000" w:rsidRDefault="00000000" w:rsidRPr="00000000" w14:paraId="0000001B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المبادرة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F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الإذاعة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منسقة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تعليميه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امنه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مربيات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الصفوف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التطويرية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شهري</w:t>
            </w:r>
          </w:p>
          <w:p w:rsidR="00000000" w:rsidDel="00000000" w:rsidP="00000000" w:rsidRDefault="00000000" w:rsidRPr="00000000" w14:paraId="0000002A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علا</w:t>
      </w:r>
    </w:p>
    <w:p w:rsidR="00000000" w:rsidDel="00000000" w:rsidP="00000000" w:rsidRDefault="00000000" w:rsidRPr="00000000" w14:paraId="0000004A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إطار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قياس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الأداء</w:t>
      </w:r>
    </w:p>
    <w:p w:rsidR="00000000" w:rsidDel="00000000" w:rsidP="00000000" w:rsidRDefault="00000000" w:rsidRPr="00000000" w14:paraId="0000004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0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2"/>
        <w:gridCol w:w="2970"/>
        <w:gridCol w:w="1980"/>
        <w:gridCol w:w="2430"/>
        <w:gridCol w:w="1530"/>
        <w:gridCol w:w="2607"/>
        <w:tblGridChange w:id="0">
          <w:tblGrid>
            <w:gridCol w:w="2572"/>
            <w:gridCol w:w="2970"/>
            <w:gridCol w:w="1980"/>
            <w:gridCol w:w="2430"/>
            <w:gridCol w:w="1530"/>
            <w:gridCol w:w="260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النتائج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التطويرية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المؤشرات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النوعية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والكمية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والمستهدف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أدوات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ومصادر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الدوري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المسؤولية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11370"/>
              </w:tabs>
              <w:bidi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1370"/>
              </w:tabs>
              <w:bidi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ازدياد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مرافقها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تعميم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2023/2024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المؤشر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الكمي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1.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يلتزمون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بالممارسات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السليمة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المؤشر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النوعي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رضا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مجتمع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للنظافة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 40%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 85%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الإذاعة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2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الصحة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3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0"/>
              </w:rPr>
              <w:t xml:space="preserve">25/9/2023-30/5/2024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مديرة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7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الصحة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مسؤولة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الإذاعة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A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منسقة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مدرسية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أمنه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center" w:leader="none" w:pos="4320"/>
          <w:tab w:val="right" w:leader="none" w:pos="8640"/>
          <w:tab w:val="left" w:leader="none" w:pos="4140"/>
        </w:tabs>
        <w:bidi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لفظي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                             </w:t>
      </w:r>
    </w:p>
    <w:p w:rsidR="00000000" w:rsidDel="00000000" w:rsidP="00000000" w:rsidRDefault="00000000" w:rsidRPr="00000000" w14:paraId="00000074">
      <w:pPr>
        <w:tabs>
          <w:tab w:val="center" w:leader="none" w:pos="4320"/>
          <w:tab w:val="right" w:leader="none" w:pos="8640"/>
          <w:tab w:val="left" w:leader="none" w:pos="4140"/>
        </w:tabs>
        <w:bidi w:val="1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bidi w:val="1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المعيار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ثقافة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التوقعات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09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0"/>
        <w:gridCol w:w="2250"/>
        <w:gridCol w:w="2340"/>
        <w:gridCol w:w="2430"/>
        <w:gridCol w:w="2430"/>
        <w:gridCol w:w="2502"/>
        <w:tblGridChange w:id="0">
          <w:tblGrid>
            <w:gridCol w:w="2140"/>
            <w:gridCol w:w="2250"/>
            <w:gridCol w:w="2340"/>
            <w:gridCol w:w="2430"/>
            <w:gridCol w:w="2430"/>
            <w:gridCol w:w="2502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11370"/>
              </w:tabs>
              <w:bidi w:val="1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ازدياد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مرافقها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تعميم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2023/2024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المؤشر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رضا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مجتمع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للنظافة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المعيار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(١)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ضعيف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(٢)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متدن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(٣)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مقبول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(٤)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قوي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(٥)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قوي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جدا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مرافق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انسجاما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1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لكن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البعض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منهم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مرافق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3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مرافق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325"/>
              </w:tabs>
              <w:bidi w:val="1"/>
              <w:spacing w:line="240" w:lineRule="auto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يحافظون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نظافة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مرافق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انسجاما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لمدرستي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أنتمي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325"/>
              </w:tabs>
              <w:bidi w:val="1"/>
              <w:spacing w:line="240" w:lineRule="auto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plified Arabic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–"/>
      <w:lvlJc w:val="left"/>
      <w:pPr>
        <w:ind w:left="435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